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97FE5" w14:textId="77777777" w:rsidR="0063366B" w:rsidRPr="007E6439" w:rsidRDefault="00BA30B2" w:rsidP="00BA30B2">
      <w:pPr>
        <w:jc w:val="center"/>
        <w:rPr>
          <w:sz w:val="40"/>
          <w:szCs w:val="40"/>
          <w:u w:val="single"/>
        </w:rPr>
      </w:pPr>
      <w:r w:rsidRPr="007E6439">
        <w:rPr>
          <w:sz w:val="40"/>
          <w:szCs w:val="40"/>
          <w:u w:val="single"/>
        </w:rPr>
        <w:t xml:space="preserve">Survivor </w:t>
      </w:r>
      <w:r w:rsidR="00D5582A" w:rsidRPr="007E6439">
        <w:rPr>
          <w:sz w:val="40"/>
          <w:szCs w:val="40"/>
          <w:u w:val="single"/>
        </w:rPr>
        <w:t xml:space="preserve">Planning </w:t>
      </w:r>
      <w:r w:rsidRPr="007E6439">
        <w:rPr>
          <w:sz w:val="40"/>
          <w:szCs w:val="40"/>
          <w:u w:val="single"/>
        </w:rPr>
        <w:t>Checklist</w:t>
      </w:r>
    </w:p>
    <w:p w14:paraId="084C4A96" w14:textId="77777777" w:rsidR="00BA30B2" w:rsidRPr="00E21A7E" w:rsidRDefault="00BA30B2">
      <w:pPr>
        <w:rPr>
          <w:sz w:val="48"/>
          <w:szCs w:val="48"/>
        </w:rPr>
      </w:pPr>
    </w:p>
    <w:p w14:paraId="71D62086" w14:textId="77777777" w:rsidR="00BA30B2" w:rsidRPr="00C0787C" w:rsidRDefault="008C4D24" w:rsidP="00BA30B2">
      <w:pPr>
        <w:jc w:val="center"/>
        <w:rPr>
          <w:sz w:val="28"/>
          <w:szCs w:val="28"/>
        </w:rPr>
      </w:pPr>
      <w:r w:rsidRPr="00C0787C">
        <w:rPr>
          <w:sz w:val="28"/>
          <w:szCs w:val="28"/>
        </w:rPr>
        <w:t>Obtain</w:t>
      </w:r>
      <w:r w:rsidR="00D5582A" w:rsidRPr="00C0787C">
        <w:rPr>
          <w:sz w:val="28"/>
          <w:szCs w:val="28"/>
        </w:rPr>
        <w:t xml:space="preserve"> c</w:t>
      </w:r>
      <w:r w:rsidR="00BA30B2" w:rsidRPr="00C0787C">
        <w:rPr>
          <w:sz w:val="28"/>
          <w:szCs w:val="28"/>
        </w:rPr>
        <w:t>opies of death certificate</w:t>
      </w:r>
    </w:p>
    <w:p w14:paraId="106AD3AF" w14:textId="77777777" w:rsidR="00E21A7E" w:rsidRPr="00C0787C" w:rsidRDefault="00E21A7E" w:rsidP="00BA30B2">
      <w:pPr>
        <w:jc w:val="center"/>
        <w:rPr>
          <w:sz w:val="28"/>
          <w:szCs w:val="28"/>
        </w:rPr>
      </w:pPr>
    </w:p>
    <w:p w14:paraId="35829881" w14:textId="77777777" w:rsidR="00BA30B2" w:rsidRPr="00C0787C" w:rsidRDefault="00BA30B2" w:rsidP="00BA30B2">
      <w:pPr>
        <w:jc w:val="center"/>
        <w:rPr>
          <w:sz w:val="28"/>
          <w:szCs w:val="28"/>
        </w:rPr>
      </w:pPr>
      <w:r w:rsidRPr="00C0787C">
        <w:rPr>
          <w:sz w:val="28"/>
          <w:szCs w:val="28"/>
        </w:rPr>
        <w:t>Review life insurance policies and contact companies</w:t>
      </w:r>
    </w:p>
    <w:p w14:paraId="6D0A93C6" w14:textId="77777777" w:rsidR="00E21A7E" w:rsidRPr="00C0787C" w:rsidRDefault="00E21A7E" w:rsidP="00BA30B2">
      <w:pPr>
        <w:jc w:val="center"/>
        <w:rPr>
          <w:sz w:val="28"/>
          <w:szCs w:val="28"/>
        </w:rPr>
      </w:pPr>
    </w:p>
    <w:p w14:paraId="12A4769C" w14:textId="77777777" w:rsidR="00BA30B2" w:rsidRPr="00C0787C" w:rsidRDefault="00BA30B2" w:rsidP="00BA30B2">
      <w:pPr>
        <w:jc w:val="center"/>
        <w:rPr>
          <w:sz w:val="28"/>
          <w:szCs w:val="28"/>
        </w:rPr>
      </w:pPr>
      <w:r w:rsidRPr="00C0787C">
        <w:rPr>
          <w:sz w:val="28"/>
          <w:szCs w:val="28"/>
        </w:rPr>
        <w:t>Contact financial advisors, CPA, attorney, insurance agent</w:t>
      </w:r>
    </w:p>
    <w:p w14:paraId="64BE75D3" w14:textId="77777777" w:rsidR="00E21A7E" w:rsidRPr="00C0787C" w:rsidRDefault="00E21A7E" w:rsidP="00BA30B2">
      <w:pPr>
        <w:jc w:val="center"/>
        <w:rPr>
          <w:sz w:val="28"/>
          <w:szCs w:val="28"/>
        </w:rPr>
      </w:pPr>
    </w:p>
    <w:p w14:paraId="6A19B0D6" w14:textId="77777777" w:rsidR="00D5582A" w:rsidRPr="00C0787C" w:rsidRDefault="00D5582A" w:rsidP="00D5582A">
      <w:pPr>
        <w:jc w:val="center"/>
        <w:rPr>
          <w:sz w:val="28"/>
          <w:szCs w:val="28"/>
        </w:rPr>
      </w:pPr>
      <w:r w:rsidRPr="00C0787C">
        <w:rPr>
          <w:sz w:val="28"/>
          <w:szCs w:val="28"/>
        </w:rPr>
        <w:t>Contact Social Security Administration</w:t>
      </w:r>
    </w:p>
    <w:p w14:paraId="18E79B92" w14:textId="77777777" w:rsidR="00E21A7E" w:rsidRPr="00C0787C" w:rsidRDefault="00E21A7E" w:rsidP="00BA30B2">
      <w:pPr>
        <w:jc w:val="center"/>
        <w:rPr>
          <w:sz w:val="28"/>
          <w:szCs w:val="28"/>
        </w:rPr>
      </w:pPr>
    </w:p>
    <w:p w14:paraId="05376A48" w14:textId="4B0AC494" w:rsidR="00BA30B2" w:rsidRPr="00C0787C" w:rsidRDefault="008C4D24" w:rsidP="00C0787C">
      <w:pPr>
        <w:jc w:val="center"/>
        <w:rPr>
          <w:sz w:val="28"/>
          <w:szCs w:val="28"/>
        </w:rPr>
      </w:pPr>
      <w:r w:rsidRPr="00C0787C">
        <w:rPr>
          <w:sz w:val="28"/>
          <w:szCs w:val="28"/>
        </w:rPr>
        <w:t xml:space="preserve">Review </w:t>
      </w:r>
      <w:r w:rsidR="00BA30B2" w:rsidRPr="00C0787C">
        <w:rPr>
          <w:sz w:val="28"/>
          <w:szCs w:val="28"/>
        </w:rPr>
        <w:t>Veteran or Civil Service benefits</w:t>
      </w:r>
    </w:p>
    <w:p w14:paraId="4D0C214B" w14:textId="77777777" w:rsidR="00E21A7E" w:rsidRPr="00C0787C" w:rsidRDefault="00E21A7E" w:rsidP="00BA30B2">
      <w:pPr>
        <w:jc w:val="center"/>
        <w:rPr>
          <w:sz w:val="28"/>
          <w:szCs w:val="28"/>
        </w:rPr>
      </w:pPr>
    </w:p>
    <w:p w14:paraId="06CEDDBA" w14:textId="337869AD" w:rsidR="00BA30B2" w:rsidRPr="00C0787C" w:rsidRDefault="00BA30B2" w:rsidP="00C0787C">
      <w:pPr>
        <w:jc w:val="center"/>
        <w:rPr>
          <w:sz w:val="28"/>
          <w:szCs w:val="28"/>
        </w:rPr>
      </w:pPr>
      <w:r w:rsidRPr="00C0787C">
        <w:rPr>
          <w:sz w:val="28"/>
          <w:szCs w:val="28"/>
        </w:rPr>
        <w:t>Check for safe deposit box</w:t>
      </w:r>
    </w:p>
    <w:p w14:paraId="163A7765" w14:textId="77777777" w:rsidR="00E21A7E" w:rsidRPr="00C0787C" w:rsidRDefault="00E21A7E" w:rsidP="00BA30B2">
      <w:pPr>
        <w:jc w:val="center"/>
        <w:rPr>
          <w:sz w:val="28"/>
          <w:szCs w:val="28"/>
        </w:rPr>
      </w:pPr>
    </w:p>
    <w:p w14:paraId="491CD4ED" w14:textId="77777777" w:rsidR="00BA30B2" w:rsidRPr="00C0787C" w:rsidRDefault="00BA30B2" w:rsidP="00BA30B2">
      <w:pPr>
        <w:jc w:val="center"/>
        <w:rPr>
          <w:sz w:val="28"/>
          <w:szCs w:val="28"/>
        </w:rPr>
      </w:pPr>
      <w:r w:rsidRPr="00C0787C">
        <w:rPr>
          <w:sz w:val="28"/>
          <w:szCs w:val="28"/>
        </w:rPr>
        <w:t>Review checking account register</w:t>
      </w:r>
    </w:p>
    <w:p w14:paraId="7CEA2DF6" w14:textId="77777777" w:rsidR="00E21A7E" w:rsidRPr="00C0787C" w:rsidRDefault="00E21A7E" w:rsidP="00C0787C">
      <w:pPr>
        <w:rPr>
          <w:sz w:val="28"/>
          <w:szCs w:val="28"/>
        </w:rPr>
      </w:pPr>
    </w:p>
    <w:p w14:paraId="08C4E2B0" w14:textId="77777777" w:rsidR="00BA30B2" w:rsidRPr="00C0787C" w:rsidRDefault="00BA30B2" w:rsidP="00BA30B2">
      <w:pPr>
        <w:jc w:val="center"/>
        <w:rPr>
          <w:sz w:val="28"/>
          <w:szCs w:val="28"/>
        </w:rPr>
      </w:pPr>
      <w:r w:rsidRPr="00C0787C">
        <w:rPr>
          <w:sz w:val="28"/>
          <w:szCs w:val="28"/>
        </w:rPr>
        <w:t>Check beneficiary designation</w:t>
      </w:r>
      <w:r w:rsidR="008C4D24" w:rsidRPr="00C0787C">
        <w:rPr>
          <w:sz w:val="28"/>
          <w:szCs w:val="28"/>
        </w:rPr>
        <w:t xml:space="preserve"> for retirement plans and IRA’s</w:t>
      </w:r>
    </w:p>
    <w:p w14:paraId="6D74CD2A" w14:textId="77777777" w:rsidR="00E21A7E" w:rsidRPr="00C0787C" w:rsidRDefault="00E21A7E" w:rsidP="00C0787C">
      <w:pPr>
        <w:rPr>
          <w:sz w:val="28"/>
          <w:szCs w:val="28"/>
        </w:rPr>
      </w:pPr>
    </w:p>
    <w:p w14:paraId="1F429C2F" w14:textId="77777777" w:rsidR="00BA30B2" w:rsidRPr="00C0787C" w:rsidRDefault="00BA30B2" w:rsidP="00BA30B2">
      <w:pPr>
        <w:jc w:val="center"/>
        <w:rPr>
          <w:sz w:val="28"/>
          <w:szCs w:val="28"/>
        </w:rPr>
      </w:pPr>
      <w:r w:rsidRPr="00C0787C">
        <w:rPr>
          <w:sz w:val="28"/>
          <w:szCs w:val="28"/>
        </w:rPr>
        <w:t>Review employer provided benefits – contact former employer</w:t>
      </w:r>
    </w:p>
    <w:p w14:paraId="687F8C2B" w14:textId="77777777" w:rsidR="00E21A7E" w:rsidRPr="00C0787C" w:rsidRDefault="00E21A7E" w:rsidP="00C0787C">
      <w:pPr>
        <w:rPr>
          <w:sz w:val="28"/>
          <w:szCs w:val="28"/>
        </w:rPr>
      </w:pPr>
    </w:p>
    <w:p w14:paraId="7E8F9725" w14:textId="77777777" w:rsidR="00BA30B2" w:rsidRPr="00C0787C" w:rsidRDefault="00BA30B2" w:rsidP="00BA30B2">
      <w:pPr>
        <w:jc w:val="center"/>
        <w:rPr>
          <w:sz w:val="28"/>
          <w:szCs w:val="28"/>
        </w:rPr>
      </w:pPr>
      <w:r w:rsidRPr="00C0787C">
        <w:rPr>
          <w:sz w:val="28"/>
          <w:szCs w:val="28"/>
        </w:rPr>
        <w:t>Medical insurance continuation</w:t>
      </w:r>
      <w:r w:rsidR="00D5582A" w:rsidRPr="00C0787C">
        <w:rPr>
          <w:sz w:val="28"/>
          <w:szCs w:val="28"/>
        </w:rPr>
        <w:t xml:space="preserve"> – COBRA possible</w:t>
      </w:r>
    </w:p>
    <w:p w14:paraId="7B44AEB2" w14:textId="77777777" w:rsidR="00E21A7E" w:rsidRPr="00C0787C" w:rsidRDefault="00E21A7E" w:rsidP="00C0787C">
      <w:pPr>
        <w:rPr>
          <w:sz w:val="28"/>
          <w:szCs w:val="28"/>
        </w:rPr>
      </w:pPr>
    </w:p>
    <w:p w14:paraId="3D5A8711" w14:textId="77777777" w:rsidR="00BA30B2" w:rsidRPr="00C0787C" w:rsidRDefault="00BA30B2" w:rsidP="00BA30B2">
      <w:pPr>
        <w:jc w:val="center"/>
        <w:rPr>
          <w:sz w:val="28"/>
          <w:szCs w:val="28"/>
        </w:rPr>
      </w:pPr>
      <w:r w:rsidRPr="00C0787C">
        <w:rPr>
          <w:sz w:val="28"/>
          <w:szCs w:val="28"/>
        </w:rPr>
        <w:t>Collect real estate deed and titles</w:t>
      </w:r>
    </w:p>
    <w:p w14:paraId="2BB31C82" w14:textId="77777777" w:rsidR="00E21A7E" w:rsidRPr="00C0787C" w:rsidRDefault="00E21A7E" w:rsidP="00C0787C">
      <w:pPr>
        <w:rPr>
          <w:sz w:val="28"/>
          <w:szCs w:val="28"/>
        </w:rPr>
      </w:pPr>
    </w:p>
    <w:p w14:paraId="71D0ABE9" w14:textId="77777777" w:rsidR="00BA30B2" w:rsidRPr="00C0787C" w:rsidRDefault="00BA30B2" w:rsidP="00BA30B2">
      <w:pPr>
        <w:jc w:val="center"/>
        <w:rPr>
          <w:sz w:val="28"/>
          <w:szCs w:val="28"/>
        </w:rPr>
      </w:pPr>
      <w:r w:rsidRPr="00C0787C">
        <w:rPr>
          <w:sz w:val="28"/>
          <w:szCs w:val="28"/>
        </w:rPr>
        <w:t>Organize bank and investment statements</w:t>
      </w:r>
    </w:p>
    <w:p w14:paraId="31EFD864" w14:textId="77777777" w:rsidR="00E21A7E" w:rsidRPr="00C0787C" w:rsidRDefault="00E21A7E" w:rsidP="00C0787C">
      <w:pPr>
        <w:rPr>
          <w:sz w:val="28"/>
          <w:szCs w:val="28"/>
        </w:rPr>
      </w:pPr>
    </w:p>
    <w:p w14:paraId="20447796" w14:textId="7C5FF629" w:rsidR="00BA30B2" w:rsidRPr="00C0787C" w:rsidRDefault="00D5582A" w:rsidP="00C0787C">
      <w:pPr>
        <w:jc w:val="center"/>
        <w:rPr>
          <w:sz w:val="28"/>
          <w:szCs w:val="28"/>
        </w:rPr>
      </w:pPr>
      <w:r w:rsidRPr="00C0787C">
        <w:rPr>
          <w:sz w:val="28"/>
          <w:szCs w:val="28"/>
        </w:rPr>
        <w:t>Review m</w:t>
      </w:r>
      <w:r w:rsidR="00BA30B2" w:rsidRPr="00C0787C">
        <w:rPr>
          <w:sz w:val="28"/>
          <w:szCs w:val="28"/>
        </w:rPr>
        <w:t>ortgage debt and credit card statements</w:t>
      </w:r>
    </w:p>
    <w:p w14:paraId="056EFCCA" w14:textId="77777777" w:rsidR="00E21A7E" w:rsidRPr="00C0787C" w:rsidRDefault="00E21A7E" w:rsidP="00BA30B2">
      <w:pPr>
        <w:jc w:val="center"/>
        <w:rPr>
          <w:sz w:val="28"/>
          <w:szCs w:val="28"/>
        </w:rPr>
      </w:pPr>
    </w:p>
    <w:p w14:paraId="7DAC68E4" w14:textId="77777777" w:rsidR="00BA30B2" w:rsidRPr="00C0787C" w:rsidRDefault="00BA30B2" w:rsidP="00BA30B2">
      <w:pPr>
        <w:jc w:val="center"/>
        <w:rPr>
          <w:sz w:val="28"/>
          <w:szCs w:val="28"/>
        </w:rPr>
      </w:pPr>
      <w:r w:rsidRPr="00C0787C">
        <w:rPr>
          <w:sz w:val="28"/>
          <w:szCs w:val="28"/>
        </w:rPr>
        <w:t>Fin</w:t>
      </w:r>
      <w:r w:rsidR="00D5582A" w:rsidRPr="00C0787C">
        <w:rPr>
          <w:sz w:val="28"/>
          <w:szCs w:val="28"/>
        </w:rPr>
        <w:t>d</w:t>
      </w:r>
      <w:r w:rsidRPr="00C0787C">
        <w:rPr>
          <w:sz w:val="28"/>
          <w:szCs w:val="28"/>
        </w:rPr>
        <w:t xml:space="preserve"> recent tax returns</w:t>
      </w:r>
    </w:p>
    <w:p w14:paraId="1225E4F8" w14:textId="77777777" w:rsidR="00E21A7E" w:rsidRPr="00C0787C" w:rsidRDefault="00E21A7E" w:rsidP="00C0787C">
      <w:pPr>
        <w:rPr>
          <w:sz w:val="28"/>
          <w:szCs w:val="28"/>
        </w:rPr>
      </w:pPr>
    </w:p>
    <w:p w14:paraId="0673A5C8" w14:textId="77777777" w:rsidR="00BA30B2" w:rsidRPr="00C0787C" w:rsidRDefault="00BA30B2" w:rsidP="00BA30B2">
      <w:pPr>
        <w:jc w:val="center"/>
        <w:rPr>
          <w:sz w:val="28"/>
          <w:szCs w:val="28"/>
        </w:rPr>
      </w:pPr>
      <w:r w:rsidRPr="00C0787C">
        <w:rPr>
          <w:sz w:val="28"/>
          <w:szCs w:val="28"/>
        </w:rPr>
        <w:t>Review current balance sheet, exp</w:t>
      </w:r>
      <w:r w:rsidR="008C4D24" w:rsidRPr="00C0787C">
        <w:rPr>
          <w:sz w:val="28"/>
          <w:szCs w:val="28"/>
        </w:rPr>
        <w:t>e</w:t>
      </w:r>
      <w:r w:rsidRPr="00C0787C">
        <w:rPr>
          <w:sz w:val="28"/>
          <w:szCs w:val="28"/>
        </w:rPr>
        <w:t>nse and cash flow projection</w:t>
      </w:r>
    </w:p>
    <w:p w14:paraId="38C5D857" w14:textId="77777777" w:rsidR="00E21A7E" w:rsidRPr="00C0787C" w:rsidRDefault="00E21A7E" w:rsidP="00C0787C">
      <w:pPr>
        <w:rPr>
          <w:sz w:val="28"/>
          <w:szCs w:val="28"/>
        </w:rPr>
      </w:pPr>
    </w:p>
    <w:p w14:paraId="205CE352" w14:textId="51D080DA" w:rsidR="005375CD" w:rsidRPr="00C0787C" w:rsidRDefault="00BA30B2" w:rsidP="00E21A7E">
      <w:pPr>
        <w:jc w:val="center"/>
        <w:rPr>
          <w:sz w:val="28"/>
          <w:szCs w:val="28"/>
        </w:rPr>
      </w:pPr>
      <w:r w:rsidRPr="00C0787C">
        <w:rPr>
          <w:sz w:val="28"/>
          <w:szCs w:val="28"/>
        </w:rPr>
        <w:t>Contact local Probate Court</w:t>
      </w:r>
    </w:p>
    <w:p w14:paraId="062C391D" w14:textId="77777777" w:rsidR="005375CD" w:rsidRDefault="005375CD" w:rsidP="00C84D4F">
      <w:pPr>
        <w:jc w:val="both"/>
        <w:rPr>
          <w:sz w:val="22"/>
          <w:szCs w:val="22"/>
        </w:rPr>
      </w:pPr>
    </w:p>
    <w:p w14:paraId="001347E7" w14:textId="77777777" w:rsidR="005375CD" w:rsidRPr="007E6439" w:rsidRDefault="005375CD" w:rsidP="00C84D4F">
      <w:pPr>
        <w:jc w:val="both"/>
        <w:rPr>
          <w:sz w:val="18"/>
          <w:szCs w:val="18"/>
        </w:rPr>
      </w:pPr>
    </w:p>
    <w:p w14:paraId="42060137" w14:textId="77777777" w:rsidR="005375CD" w:rsidRDefault="005375CD" w:rsidP="00C84D4F">
      <w:pPr>
        <w:jc w:val="both"/>
        <w:rPr>
          <w:sz w:val="22"/>
          <w:szCs w:val="22"/>
        </w:rPr>
      </w:pPr>
    </w:p>
    <w:p w14:paraId="0D123772" w14:textId="77777777" w:rsidR="00197E0D" w:rsidRDefault="00197E0D" w:rsidP="00C84D4F">
      <w:pPr>
        <w:jc w:val="both"/>
        <w:rPr>
          <w:sz w:val="22"/>
          <w:szCs w:val="22"/>
        </w:rPr>
      </w:pPr>
    </w:p>
    <w:p w14:paraId="22FFCC51" w14:textId="77777777" w:rsidR="00197E0D" w:rsidRPr="001F4994" w:rsidRDefault="00197E0D" w:rsidP="00C84D4F">
      <w:pPr>
        <w:jc w:val="both"/>
        <w:rPr>
          <w:sz w:val="22"/>
          <w:szCs w:val="22"/>
        </w:rPr>
      </w:pPr>
    </w:p>
    <w:p w14:paraId="3FD3EDDB" w14:textId="77777777" w:rsidR="00C0787C" w:rsidRPr="00F872D1" w:rsidRDefault="00C0787C" w:rsidP="00F872D1">
      <w:pPr>
        <w:rPr>
          <w:sz w:val="20"/>
          <w:szCs w:val="20"/>
        </w:rPr>
      </w:pPr>
      <w:r w:rsidRPr="00F872D1">
        <w:rPr>
          <w:sz w:val="20"/>
          <w:szCs w:val="20"/>
        </w:rPr>
        <w:t xml:space="preserve">Neither MML Investors Services, LLC nor any of its subsidiaries, employees or representatives are authorized to give legal or tax advice. Consult your own personal attorney legal or tax counsel for advice on specific legal and tax matters. Estate Planning services are provided working in conjunction with your Estate Planning Attorney, Tax Attorney and/or CPA.  </w:t>
      </w:r>
    </w:p>
    <w:p w14:paraId="277EF9B9" w14:textId="77777777" w:rsidR="00C0787C" w:rsidRPr="00F872D1" w:rsidRDefault="00C0787C" w:rsidP="00F872D1">
      <w:pPr>
        <w:rPr>
          <w:sz w:val="20"/>
          <w:szCs w:val="20"/>
        </w:rPr>
      </w:pPr>
    </w:p>
    <w:p w14:paraId="35189F61" w14:textId="77777777" w:rsidR="00F872D1" w:rsidRPr="00F872D1" w:rsidRDefault="00C84D4F" w:rsidP="00F872D1">
      <w:pPr>
        <w:rPr>
          <w:sz w:val="20"/>
          <w:szCs w:val="20"/>
        </w:rPr>
      </w:pPr>
      <w:r w:rsidRPr="00F872D1">
        <w:rPr>
          <w:sz w:val="20"/>
          <w:szCs w:val="20"/>
        </w:rPr>
        <w:t>Martin J. Coursey is a registered representative of and offers securities</w:t>
      </w:r>
      <w:r w:rsidR="00CA713C" w:rsidRPr="00F872D1">
        <w:rPr>
          <w:sz w:val="20"/>
          <w:szCs w:val="20"/>
        </w:rPr>
        <w:t xml:space="preserve"> and</w:t>
      </w:r>
      <w:r w:rsidRPr="00F872D1">
        <w:rPr>
          <w:sz w:val="20"/>
          <w:szCs w:val="20"/>
        </w:rPr>
        <w:t xml:space="preserve"> investment advisory</w:t>
      </w:r>
      <w:r w:rsidR="00C712CE" w:rsidRPr="00F872D1">
        <w:rPr>
          <w:sz w:val="20"/>
          <w:szCs w:val="20"/>
        </w:rPr>
        <w:t xml:space="preserve"> </w:t>
      </w:r>
      <w:r w:rsidRPr="00F872D1">
        <w:rPr>
          <w:sz w:val="20"/>
          <w:szCs w:val="20"/>
        </w:rPr>
        <w:t>services thr</w:t>
      </w:r>
      <w:r w:rsidR="009205E7" w:rsidRPr="00F872D1">
        <w:rPr>
          <w:sz w:val="20"/>
          <w:szCs w:val="20"/>
        </w:rPr>
        <w:t>ough MML Investors Services, LLC</w:t>
      </w:r>
      <w:r w:rsidRPr="00F872D1">
        <w:rPr>
          <w:sz w:val="20"/>
          <w:szCs w:val="20"/>
        </w:rPr>
        <w:t>.  Member SIPC.</w:t>
      </w:r>
      <w:r w:rsidR="00915190" w:rsidRPr="00F872D1">
        <w:rPr>
          <w:sz w:val="20"/>
          <w:szCs w:val="20"/>
        </w:rPr>
        <w:t xml:space="preserve"> Coursey Financial Group is not a subsidiary or affiliate of MML Investors Services, LLC or its affiliated companies. </w:t>
      </w:r>
      <w:r w:rsidRPr="00F872D1">
        <w:rPr>
          <w:sz w:val="20"/>
          <w:szCs w:val="20"/>
        </w:rPr>
        <w:t xml:space="preserve">Supervisory Office:  </w:t>
      </w:r>
      <w:r w:rsidR="0094202E" w:rsidRPr="00F872D1">
        <w:rPr>
          <w:sz w:val="20"/>
          <w:szCs w:val="20"/>
        </w:rPr>
        <w:t xml:space="preserve">2321 Whitney Avenue, Suite 402, Hamden, </w:t>
      </w:r>
      <w:r w:rsidR="00915190" w:rsidRPr="00F872D1">
        <w:rPr>
          <w:sz w:val="20"/>
          <w:szCs w:val="20"/>
        </w:rPr>
        <w:t>CT</w:t>
      </w:r>
      <w:r w:rsidR="00F872D1" w:rsidRPr="00F872D1">
        <w:rPr>
          <w:sz w:val="20"/>
          <w:szCs w:val="20"/>
        </w:rPr>
        <w:t xml:space="preserve">. </w:t>
      </w:r>
    </w:p>
    <w:p w14:paraId="59A5BA6C" w14:textId="7EF917F2" w:rsidR="0094202E" w:rsidRPr="00F872D1" w:rsidRDefault="00F872D1" w:rsidP="00F872D1">
      <w:pPr>
        <w:rPr>
          <w:sz w:val="20"/>
          <w:szCs w:val="20"/>
        </w:rPr>
      </w:pPr>
      <w:r w:rsidRPr="00F872D1">
        <w:rPr>
          <w:sz w:val="20"/>
          <w:szCs w:val="20"/>
        </w:rPr>
        <w:t>Tel: (</w:t>
      </w:r>
      <w:r w:rsidR="0094202E" w:rsidRPr="00F872D1">
        <w:rPr>
          <w:sz w:val="20"/>
          <w:szCs w:val="20"/>
        </w:rPr>
        <w:t>203 288.5700</w:t>
      </w:r>
      <w:r w:rsidR="00C84D4F" w:rsidRPr="00F872D1">
        <w:rPr>
          <w:sz w:val="20"/>
          <w:szCs w:val="20"/>
        </w:rPr>
        <w:t xml:space="preserve">.  </w:t>
      </w:r>
    </w:p>
    <w:p w14:paraId="311C9F50" w14:textId="77777777" w:rsidR="007E6439" w:rsidRDefault="002C3BA0" w:rsidP="00C84D4F">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899110B" w14:textId="6298E0A4" w:rsidR="002C3BA0" w:rsidRPr="00197E0D" w:rsidRDefault="008A78E2" w:rsidP="00197E0D">
      <w:pPr>
        <w:ind w:left="6480" w:firstLine="720"/>
        <w:jc w:val="both"/>
        <w:rPr>
          <w:b/>
          <w:bCs/>
          <w:sz w:val="20"/>
          <w:szCs w:val="20"/>
        </w:rPr>
      </w:pPr>
      <w:r>
        <w:rPr>
          <w:sz w:val="20"/>
          <w:szCs w:val="20"/>
        </w:rPr>
        <w:t>CRN202708-</w:t>
      </w:r>
      <w:r w:rsidR="00425257" w:rsidRPr="00425257">
        <w:rPr>
          <w:sz w:val="20"/>
          <w:szCs w:val="20"/>
        </w:rPr>
        <w:t>6659725</w:t>
      </w:r>
    </w:p>
    <w:sectPr w:rsidR="002C3BA0" w:rsidRPr="00197E0D" w:rsidSect="000B625B">
      <w:pgSz w:w="12240" w:h="15840" w:code="1"/>
      <w:pgMar w:top="864" w:right="1440" w:bottom="432" w:left="1440" w:header="1440" w:footer="216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4CC6B" w14:textId="77777777" w:rsidR="000E2919" w:rsidRDefault="000E2919">
      <w:r>
        <w:separator/>
      </w:r>
    </w:p>
  </w:endnote>
  <w:endnote w:type="continuationSeparator" w:id="0">
    <w:p w14:paraId="05CB3DB8" w14:textId="77777777" w:rsidR="000E2919" w:rsidRDefault="000E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F08EB" w14:textId="77777777" w:rsidR="000E2919" w:rsidRDefault="000E2919">
      <w:r>
        <w:separator/>
      </w:r>
    </w:p>
  </w:footnote>
  <w:footnote w:type="continuationSeparator" w:id="0">
    <w:p w14:paraId="38A7DDD4" w14:textId="77777777" w:rsidR="000E2919" w:rsidRDefault="000E2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30B2"/>
    <w:rsid w:val="00005191"/>
    <w:rsid w:val="00065B9B"/>
    <w:rsid w:val="000965FB"/>
    <w:rsid w:val="000A03B1"/>
    <w:rsid w:val="000A4C7D"/>
    <w:rsid w:val="000B625B"/>
    <w:rsid w:val="000C7BCA"/>
    <w:rsid w:val="000E2919"/>
    <w:rsid w:val="001670B4"/>
    <w:rsid w:val="00171213"/>
    <w:rsid w:val="00184038"/>
    <w:rsid w:val="00197E0D"/>
    <w:rsid w:val="001B2402"/>
    <w:rsid w:val="001B7539"/>
    <w:rsid w:val="001F4994"/>
    <w:rsid w:val="002106E9"/>
    <w:rsid w:val="002C3BA0"/>
    <w:rsid w:val="002E1E13"/>
    <w:rsid w:val="00304222"/>
    <w:rsid w:val="00313525"/>
    <w:rsid w:val="00316B24"/>
    <w:rsid w:val="00347C9D"/>
    <w:rsid w:val="003517E6"/>
    <w:rsid w:val="00367A87"/>
    <w:rsid w:val="003C6A66"/>
    <w:rsid w:val="003E34CF"/>
    <w:rsid w:val="003F45DC"/>
    <w:rsid w:val="00425257"/>
    <w:rsid w:val="0045182D"/>
    <w:rsid w:val="00464B65"/>
    <w:rsid w:val="0048379A"/>
    <w:rsid w:val="00494CF3"/>
    <w:rsid w:val="004A3393"/>
    <w:rsid w:val="00504D0E"/>
    <w:rsid w:val="005375CD"/>
    <w:rsid w:val="00551A3A"/>
    <w:rsid w:val="00563927"/>
    <w:rsid w:val="00570A08"/>
    <w:rsid w:val="0063366B"/>
    <w:rsid w:val="0064509A"/>
    <w:rsid w:val="006B0584"/>
    <w:rsid w:val="006B2A1A"/>
    <w:rsid w:val="006C6DD3"/>
    <w:rsid w:val="007502F3"/>
    <w:rsid w:val="00785EC7"/>
    <w:rsid w:val="007E6439"/>
    <w:rsid w:val="0080338E"/>
    <w:rsid w:val="008110F4"/>
    <w:rsid w:val="00823DC4"/>
    <w:rsid w:val="008448B2"/>
    <w:rsid w:val="008A78E2"/>
    <w:rsid w:val="008C4D24"/>
    <w:rsid w:val="00915190"/>
    <w:rsid w:val="009205E7"/>
    <w:rsid w:val="0094202E"/>
    <w:rsid w:val="00951A92"/>
    <w:rsid w:val="009548FD"/>
    <w:rsid w:val="00955BAB"/>
    <w:rsid w:val="00967871"/>
    <w:rsid w:val="00967CC4"/>
    <w:rsid w:val="009942D0"/>
    <w:rsid w:val="00A128FC"/>
    <w:rsid w:val="00A31380"/>
    <w:rsid w:val="00A371F0"/>
    <w:rsid w:val="00AA0AB3"/>
    <w:rsid w:val="00AA5270"/>
    <w:rsid w:val="00AB469C"/>
    <w:rsid w:val="00AC2840"/>
    <w:rsid w:val="00AF2CED"/>
    <w:rsid w:val="00B03431"/>
    <w:rsid w:val="00B47F93"/>
    <w:rsid w:val="00B57824"/>
    <w:rsid w:val="00B965D5"/>
    <w:rsid w:val="00BA30B2"/>
    <w:rsid w:val="00C0787C"/>
    <w:rsid w:val="00C712CE"/>
    <w:rsid w:val="00C84D4F"/>
    <w:rsid w:val="00CA4B4A"/>
    <w:rsid w:val="00CA713C"/>
    <w:rsid w:val="00CB36FD"/>
    <w:rsid w:val="00D24CAB"/>
    <w:rsid w:val="00D5582A"/>
    <w:rsid w:val="00D917E3"/>
    <w:rsid w:val="00DC052B"/>
    <w:rsid w:val="00DF047E"/>
    <w:rsid w:val="00E131A2"/>
    <w:rsid w:val="00E205BA"/>
    <w:rsid w:val="00E21A7E"/>
    <w:rsid w:val="00E42A8C"/>
    <w:rsid w:val="00E5356D"/>
    <w:rsid w:val="00E56B6F"/>
    <w:rsid w:val="00E84655"/>
    <w:rsid w:val="00E84C12"/>
    <w:rsid w:val="00EB6BC9"/>
    <w:rsid w:val="00F11FE0"/>
    <w:rsid w:val="00F22469"/>
    <w:rsid w:val="00F503FF"/>
    <w:rsid w:val="00F872D1"/>
    <w:rsid w:val="00FC174D"/>
    <w:rsid w:val="00F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21717"/>
  <w15:chartTrackingRefBased/>
  <w15:docId w15:val="{F6D910B4-100B-421B-9187-14848F05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cs="Arial"/>
      <w:snapToGrid w:val="0"/>
      <w:sz w:val="24"/>
      <w:szCs w:val="24"/>
    </w:rPr>
  </w:style>
  <w:style w:type="paragraph" w:styleId="Heading3">
    <w:name w:val="heading 3"/>
    <w:basedOn w:val="Normal"/>
    <w:next w:val="Normal"/>
    <w:link w:val="Heading3Char"/>
    <w:semiHidden/>
    <w:unhideWhenUsed/>
    <w:qFormat/>
    <w:rsid w:val="00425257"/>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64B65"/>
    <w:pPr>
      <w:framePr w:w="7920" w:h="1980" w:hRule="exact" w:hSpace="180" w:wrap="auto" w:hAnchor="page" w:xAlign="center" w:yAlign="bottom"/>
      <w:ind w:left="2880"/>
    </w:pPr>
    <w:rPr>
      <w:sz w:val="30"/>
      <w:szCs w:val="30"/>
    </w:rPr>
  </w:style>
  <w:style w:type="paragraph" w:styleId="EnvelopeReturn">
    <w:name w:val="envelope return"/>
    <w:basedOn w:val="Normal"/>
    <w:rsid w:val="002106E9"/>
    <w:rPr>
      <w:szCs w:val="20"/>
    </w:rPr>
  </w:style>
  <w:style w:type="paragraph" w:styleId="Header">
    <w:name w:val="header"/>
    <w:basedOn w:val="Normal"/>
    <w:rsid w:val="008110F4"/>
    <w:pPr>
      <w:tabs>
        <w:tab w:val="center" w:pos="4320"/>
        <w:tab w:val="right" w:pos="8640"/>
      </w:tabs>
    </w:pPr>
  </w:style>
  <w:style w:type="paragraph" w:styleId="Footer">
    <w:name w:val="footer"/>
    <w:basedOn w:val="Normal"/>
    <w:rsid w:val="008110F4"/>
    <w:pPr>
      <w:tabs>
        <w:tab w:val="center" w:pos="4320"/>
        <w:tab w:val="right" w:pos="8640"/>
      </w:tabs>
    </w:pPr>
  </w:style>
  <w:style w:type="character" w:styleId="Hyperlink">
    <w:name w:val="Hyperlink"/>
    <w:rsid w:val="00C84D4F"/>
    <w:rPr>
      <w:color w:val="0000FF"/>
      <w:u w:val="single"/>
    </w:rPr>
  </w:style>
  <w:style w:type="paragraph" w:styleId="BalloonText">
    <w:name w:val="Balloon Text"/>
    <w:basedOn w:val="Normal"/>
    <w:semiHidden/>
    <w:rsid w:val="003C6A66"/>
    <w:rPr>
      <w:rFonts w:ascii="Tahoma" w:hAnsi="Tahoma" w:cs="Tahoma"/>
      <w:sz w:val="16"/>
      <w:szCs w:val="16"/>
    </w:rPr>
  </w:style>
  <w:style w:type="character" w:customStyle="1" w:styleId="Heading3Char">
    <w:name w:val="Heading 3 Char"/>
    <w:link w:val="Heading3"/>
    <w:semiHidden/>
    <w:rsid w:val="00425257"/>
    <w:rPr>
      <w:rFonts w:ascii="Calibri Light" w:eastAsia="Times New Roman" w:hAnsi="Calibri Light" w:cs="Times New Roman"/>
      <w:b/>
      <w:bCs/>
      <w:snapToGrid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567974">
      <w:bodyDiv w:val="1"/>
      <w:marLeft w:val="0"/>
      <w:marRight w:val="0"/>
      <w:marTop w:val="0"/>
      <w:marBottom w:val="0"/>
      <w:divBdr>
        <w:top w:val="none" w:sz="0" w:space="0" w:color="auto"/>
        <w:left w:val="none" w:sz="0" w:space="0" w:color="auto"/>
        <w:bottom w:val="none" w:sz="0" w:space="0" w:color="auto"/>
        <w:right w:val="none" w:sz="0" w:space="0" w:color="auto"/>
      </w:divBdr>
    </w:div>
    <w:div w:id="15265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1292</Characters>
  <Application>Microsoft Office Word</Application>
  <DocSecurity>0</DocSecurity>
  <Lines>51</Lines>
  <Paragraphs>25</Paragraphs>
  <ScaleCrop>false</ScaleCrop>
  <HeadingPairs>
    <vt:vector size="2" baseType="variant">
      <vt:variant>
        <vt:lpstr>Title</vt:lpstr>
      </vt:variant>
      <vt:variant>
        <vt:i4>1</vt:i4>
      </vt:variant>
    </vt:vector>
  </HeadingPairs>
  <TitlesOfParts>
    <vt:vector size="1" baseType="lpstr">
      <vt:lpstr>Survivor Checklist</vt:lpstr>
    </vt:vector>
  </TitlesOfParts>
  <Company>Coursey Financial Group</Company>
  <LinksUpToDate>false</LinksUpToDate>
  <CharactersWithSpaces>1476</CharactersWithSpaces>
  <SharedDoc>false</SharedDoc>
  <HLinks>
    <vt:vector size="6" baseType="variant">
      <vt:variant>
        <vt:i4>5963858</vt:i4>
      </vt:variant>
      <vt:variant>
        <vt:i4>0</vt:i4>
      </vt:variant>
      <vt:variant>
        <vt:i4>0</vt:i4>
      </vt:variant>
      <vt:variant>
        <vt:i4>5</vt:i4>
      </vt:variant>
      <vt:variant>
        <vt:lpwstr>http://www.sipc.org/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Survivor Checklist</dc:title>
  <dc:subject/>
  <dc:creator>Lisa</dc:creator>
  <cp:keywords/>
  <cp:lastModifiedBy>Denning, Linda</cp:lastModifiedBy>
  <cp:revision>2</cp:revision>
  <cp:lastPrinted>2024-08-16T13:21:00Z</cp:lastPrinted>
  <dcterms:created xsi:type="dcterms:W3CDTF">2024-08-16T13:57:00Z</dcterms:created>
  <dcterms:modified xsi:type="dcterms:W3CDTF">2024-08-16T13:57:00Z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1df539-6093-4ec5-baaa-eb0dcc11254e_Enabled">
    <vt:lpwstr>true</vt:lpwstr>
  </property>
  <property fmtid="{D5CDD505-2E9C-101B-9397-08002B2CF9AE}" pid="3" name="MSIP_Label_1f1df539-6093-4ec5-baaa-eb0dcc11254e_SetDate">
    <vt:lpwstr>2024-08-16T13:52:41Z</vt:lpwstr>
  </property>
  <property fmtid="{D5CDD505-2E9C-101B-9397-08002B2CF9AE}" pid="4" name="MSIP_Label_1f1df539-6093-4ec5-baaa-eb0dcc11254e_Method">
    <vt:lpwstr>Standard</vt:lpwstr>
  </property>
  <property fmtid="{D5CDD505-2E9C-101B-9397-08002B2CF9AE}" pid="5" name="MSIP_Label_1f1df539-6093-4ec5-baaa-eb0dcc11254e_Name">
    <vt:lpwstr>General</vt:lpwstr>
  </property>
  <property fmtid="{D5CDD505-2E9C-101B-9397-08002B2CF9AE}" pid="6" name="MSIP_Label_1f1df539-6093-4ec5-baaa-eb0dcc11254e_SiteId">
    <vt:lpwstr>649fc29a-ece3-4a3b-a3c1-680a2f035a6e</vt:lpwstr>
  </property>
  <property fmtid="{D5CDD505-2E9C-101B-9397-08002B2CF9AE}" pid="7" name="MSIP_Label_1f1df539-6093-4ec5-baaa-eb0dcc11254e_ActionId">
    <vt:lpwstr>6ec56a9e-b06f-4cbf-8249-f45558b72e57</vt:lpwstr>
  </property>
  <property fmtid="{D5CDD505-2E9C-101B-9397-08002B2CF9AE}" pid="8" name="MSIP_Label_1f1df539-6093-4ec5-baaa-eb0dcc11254e_ContentBits">
    <vt:lpwstr>0</vt:lpwstr>
  </property>
</Properties>
</file>